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EC" w:rsidRPr="00975B1D" w:rsidRDefault="00992FD5">
      <w:pPr>
        <w:spacing w:after="218" w:line="259" w:lineRule="auto"/>
        <w:ind w:left="0" w:firstLine="0"/>
        <w:rPr>
          <w:rFonts w:asciiTheme="minorHAnsi" w:hAnsiTheme="minorHAnsi" w:cstheme="minorHAnsi"/>
        </w:rPr>
      </w:pPr>
      <w:bookmarkStart w:id="0" w:name="_GoBack"/>
      <w:bookmarkEnd w:id="0"/>
      <w:r w:rsidRPr="00975B1D">
        <w:rPr>
          <w:rFonts w:asciiTheme="minorHAnsi" w:hAnsiTheme="minorHAnsi" w:cstheme="minorHAnsi"/>
          <w:b/>
          <w:i/>
          <w:u w:val="single" w:color="000000"/>
        </w:rPr>
        <w:t>Statement by David Taylor</w:t>
      </w:r>
      <w:r w:rsidRPr="00975B1D">
        <w:rPr>
          <w:rFonts w:asciiTheme="minorHAnsi" w:hAnsiTheme="minorHAnsi" w:cstheme="minorHAnsi"/>
          <w:b/>
          <w:i/>
        </w:rPr>
        <w:t xml:space="preserve">  </w:t>
      </w:r>
    </w:p>
    <w:p w:rsidR="003044EC" w:rsidRPr="00975B1D" w:rsidRDefault="00992FD5">
      <w:pPr>
        <w:spacing w:after="224"/>
        <w:ind w:left="-5"/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t xml:space="preserve">I am David Taylor, Chairman of the Pickwick Association and speak to ensure our objections to these applications are heard and on record before you reach your decision. </w:t>
      </w:r>
      <w:r w:rsidR="00CF783E" w:rsidRPr="00975B1D">
        <w:rPr>
          <w:rFonts w:asciiTheme="minorHAnsi" w:hAnsiTheme="minorHAnsi" w:cstheme="minorHAnsi"/>
        </w:rPr>
        <w:t xml:space="preserve">Our Briefing Pack, </w:t>
      </w:r>
      <w:r w:rsidR="0077649E" w:rsidRPr="00975B1D">
        <w:rPr>
          <w:rFonts w:asciiTheme="minorHAnsi" w:hAnsiTheme="minorHAnsi" w:cstheme="minorHAnsi"/>
        </w:rPr>
        <w:t xml:space="preserve">provided today and </w:t>
      </w:r>
      <w:r w:rsidR="00CF783E" w:rsidRPr="00975B1D">
        <w:rPr>
          <w:rFonts w:asciiTheme="minorHAnsi" w:hAnsiTheme="minorHAnsi" w:cstheme="minorHAnsi"/>
        </w:rPr>
        <w:t xml:space="preserve">emailed to you </w:t>
      </w:r>
      <w:r w:rsidR="0077649E" w:rsidRPr="00975B1D">
        <w:rPr>
          <w:rFonts w:asciiTheme="minorHAnsi" w:hAnsiTheme="minorHAnsi" w:cstheme="minorHAnsi"/>
        </w:rPr>
        <w:t>yesterday</w:t>
      </w:r>
      <w:r w:rsidR="00CF783E" w:rsidRPr="00975B1D">
        <w:rPr>
          <w:rFonts w:asciiTheme="minorHAnsi" w:hAnsiTheme="minorHAnsi" w:cstheme="minorHAnsi"/>
        </w:rPr>
        <w:t>, contains important information some of which is still not available on the website.</w:t>
      </w:r>
    </w:p>
    <w:p w:rsidR="003044EC" w:rsidRPr="00975B1D" w:rsidRDefault="00992FD5">
      <w:pPr>
        <w:ind w:left="-5"/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t xml:space="preserve">The applications concern </w:t>
      </w:r>
      <w:r w:rsidR="0077649E" w:rsidRPr="00975B1D">
        <w:rPr>
          <w:rFonts w:asciiTheme="minorHAnsi" w:hAnsiTheme="minorHAnsi" w:cstheme="minorHAnsi"/>
        </w:rPr>
        <w:t xml:space="preserve">the </w:t>
      </w:r>
      <w:r w:rsidRPr="00975B1D">
        <w:rPr>
          <w:rFonts w:asciiTheme="minorHAnsi" w:hAnsiTheme="minorHAnsi" w:cstheme="minorHAnsi"/>
        </w:rPr>
        <w:t xml:space="preserve">four ‘Reserved Matters’ defined in the Inspector’s outline consent. We focus on two of </w:t>
      </w:r>
      <w:proofErr w:type="gramStart"/>
      <w:r w:rsidRPr="00975B1D">
        <w:rPr>
          <w:rFonts w:asciiTheme="minorHAnsi" w:hAnsiTheme="minorHAnsi" w:cstheme="minorHAnsi"/>
        </w:rPr>
        <w:t>these,</w:t>
      </w:r>
      <w:proofErr w:type="gramEnd"/>
      <w:r w:rsidRPr="00975B1D">
        <w:rPr>
          <w:rFonts w:asciiTheme="minorHAnsi" w:hAnsiTheme="minorHAnsi" w:cstheme="minorHAnsi"/>
        </w:rPr>
        <w:t xml:space="preserve"> ‘layout’ and ‘scale’ where concerns relating to stone-mining, arising from detailed geological research by GWP </w:t>
      </w:r>
      <w:r w:rsidRPr="00975B1D">
        <w:rPr>
          <w:rFonts w:asciiTheme="minorHAnsi" w:hAnsiTheme="minorHAnsi" w:cstheme="minorHAnsi"/>
          <w:highlight w:val="darkGray"/>
        </w:rPr>
        <w:t>Consultants LLP</w:t>
      </w:r>
      <w:r w:rsidRPr="00975B1D">
        <w:rPr>
          <w:rFonts w:asciiTheme="minorHAnsi" w:hAnsiTheme="minorHAnsi" w:cstheme="minorHAnsi"/>
          <w:vertAlign w:val="superscript"/>
        </w:rPr>
        <w:footnoteReference w:id="1"/>
      </w:r>
      <w:r w:rsidRPr="00975B1D">
        <w:rPr>
          <w:rFonts w:asciiTheme="minorHAnsi" w:hAnsiTheme="minorHAnsi" w:cstheme="minorHAnsi"/>
        </w:rPr>
        <w:t xml:space="preserve">, </w:t>
      </w:r>
      <w:r w:rsidR="0081474C" w:rsidRPr="00975B1D">
        <w:rPr>
          <w:rFonts w:asciiTheme="minorHAnsi" w:hAnsiTheme="minorHAnsi" w:cstheme="minorHAnsi"/>
        </w:rPr>
        <w:t>have</w:t>
      </w:r>
      <w:r w:rsidRPr="00975B1D">
        <w:rPr>
          <w:rFonts w:asciiTheme="minorHAnsi" w:hAnsiTheme="minorHAnsi" w:cstheme="minorHAnsi"/>
        </w:rPr>
        <w:t xml:space="preserve"> </w:t>
      </w:r>
      <w:r w:rsidR="00393554" w:rsidRPr="00975B1D">
        <w:rPr>
          <w:rFonts w:asciiTheme="minorHAnsi" w:hAnsiTheme="minorHAnsi" w:cstheme="minorHAnsi"/>
        </w:rPr>
        <w:t xml:space="preserve">still </w:t>
      </w:r>
      <w:r w:rsidRPr="00975B1D">
        <w:rPr>
          <w:rFonts w:asciiTheme="minorHAnsi" w:hAnsiTheme="minorHAnsi" w:cstheme="minorHAnsi"/>
        </w:rPr>
        <w:t xml:space="preserve">not </w:t>
      </w:r>
      <w:r w:rsidR="0081474C" w:rsidRPr="00975B1D">
        <w:rPr>
          <w:rFonts w:asciiTheme="minorHAnsi" w:hAnsiTheme="minorHAnsi" w:cstheme="minorHAnsi"/>
        </w:rPr>
        <w:t>received proper attention</w:t>
      </w:r>
      <w:r w:rsidRPr="00975B1D">
        <w:rPr>
          <w:rFonts w:asciiTheme="minorHAnsi" w:hAnsiTheme="minorHAnsi" w:cstheme="minorHAnsi"/>
        </w:rPr>
        <w:t xml:space="preserve">. </w:t>
      </w:r>
    </w:p>
    <w:p w:rsidR="00CD062D" w:rsidRPr="00975B1D" w:rsidRDefault="00992FD5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t xml:space="preserve"> </w:t>
      </w:r>
    </w:p>
    <w:p w:rsidR="003044EC" w:rsidRPr="00975B1D" w:rsidRDefault="00992FD5">
      <w:pPr>
        <w:spacing w:after="34"/>
        <w:ind w:left="-5"/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t xml:space="preserve">You’re </w:t>
      </w:r>
      <w:r w:rsidR="0081474C" w:rsidRPr="00975B1D">
        <w:rPr>
          <w:rFonts w:asciiTheme="minorHAnsi" w:hAnsiTheme="minorHAnsi" w:cstheme="minorHAnsi"/>
        </w:rPr>
        <w:t>about to decide on</w:t>
      </w:r>
      <w:r w:rsidRPr="00975B1D">
        <w:rPr>
          <w:rFonts w:asciiTheme="minorHAnsi" w:hAnsiTheme="minorHAnsi" w:cstheme="minorHAnsi"/>
        </w:rPr>
        <w:t xml:space="preserve"> proposals to build 150 houses - and two office blocks – on top of a stone mine that: </w:t>
      </w:r>
    </w:p>
    <w:p w:rsidR="003044EC" w:rsidRPr="00975B1D" w:rsidRDefault="00992FD5" w:rsidP="00ED10A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t xml:space="preserve">Extends beneath the entire site </w:t>
      </w:r>
    </w:p>
    <w:p w:rsidR="003044EC" w:rsidRPr="00975B1D" w:rsidRDefault="00992FD5" w:rsidP="00ED10A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t xml:space="preserve">Is being commercially worked </w:t>
      </w:r>
      <w:r w:rsidR="00F20D2F" w:rsidRPr="00975B1D">
        <w:rPr>
          <w:rFonts w:asciiTheme="minorHAnsi" w:hAnsiTheme="minorHAnsi" w:cstheme="minorHAnsi"/>
        </w:rPr>
        <w:t xml:space="preserve">underneath the proposed buildings </w:t>
      </w:r>
      <w:r w:rsidRPr="00975B1D">
        <w:rPr>
          <w:rFonts w:asciiTheme="minorHAnsi" w:hAnsiTheme="minorHAnsi" w:cstheme="minorHAnsi"/>
        </w:rPr>
        <w:t xml:space="preserve">as I speak, and </w:t>
      </w:r>
    </w:p>
    <w:p w:rsidR="003044EC" w:rsidRPr="00975B1D" w:rsidRDefault="00992FD5" w:rsidP="00ED10AC">
      <w:pPr>
        <w:pStyle w:val="ListParagraph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t xml:space="preserve">Is licensed – by Wiltshire Council - </w:t>
      </w:r>
      <w:r w:rsidR="0016064B" w:rsidRPr="00975B1D">
        <w:rPr>
          <w:rFonts w:asciiTheme="minorHAnsi" w:hAnsiTheme="minorHAnsi" w:cstheme="minorHAnsi"/>
        </w:rPr>
        <w:t xml:space="preserve">to do so </w:t>
      </w:r>
      <w:r w:rsidRPr="00975B1D">
        <w:rPr>
          <w:rFonts w:asciiTheme="minorHAnsi" w:hAnsiTheme="minorHAnsi" w:cstheme="minorHAnsi"/>
        </w:rPr>
        <w:t xml:space="preserve">until 2042 at least  </w:t>
      </w:r>
    </w:p>
    <w:p w:rsidR="003044EC" w:rsidRPr="00975B1D" w:rsidRDefault="00992FD5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t xml:space="preserve"> </w:t>
      </w:r>
    </w:p>
    <w:p w:rsidR="003044EC" w:rsidRPr="00975B1D" w:rsidRDefault="00992FD5" w:rsidP="00625752">
      <w:pPr>
        <w:spacing w:after="0" w:line="244" w:lineRule="auto"/>
        <w:ind w:left="0" w:firstLine="0"/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  <w:b/>
          <w:i/>
        </w:rPr>
        <w:t>No-one</w:t>
      </w:r>
      <w:r w:rsidRPr="00975B1D">
        <w:rPr>
          <w:rFonts w:asciiTheme="minorHAnsi" w:hAnsiTheme="minorHAnsi" w:cstheme="minorHAnsi"/>
        </w:rPr>
        <w:t xml:space="preserve"> I’ve spoken to can understand that principle.  What’s more, it’s in direct conflict with the Council’s own Core Minerals Strategy</w:t>
      </w:r>
      <w:r w:rsidRPr="00975B1D">
        <w:rPr>
          <w:rFonts w:asciiTheme="minorHAnsi" w:hAnsiTheme="minorHAnsi" w:cstheme="minorHAnsi"/>
          <w:vertAlign w:val="superscript"/>
        </w:rPr>
        <w:footnoteReference w:id="2"/>
      </w:r>
      <w:proofErr w:type="gramStart"/>
      <w:r w:rsidRPr="00975B1D">
        <w:rPr>
          <w:rFonts w:asciiTheme="minorHAnsi" w:hAnsiTheme="minorHAnsi" w:cstheme="minorHAnsi"/>
        </w:rPr>
        <w:t>, that</w:t>
      </w:r>
      <w:proofErr w:type="gramEnd"/>
      <w:r w:rsidRPr="00975B1D">
        <w:rPr>
          <w:rFonts w:asciiTheme="minorHAnsi" w:hAnsiTheme="minorHAnsi" w:cstheme="minorHAnsi"/>
        </w:rPr>
        <w:t xml:space="preserve"> says </w:t>
      </w:r>
      <w:r w:rsidRPr="00975B1D">
        <w:rPr>
          <w:rFonts w:asciiTheme="minorHAnsi" w:eastAsia="Arial" w:hAnsiTheme="minorHAnsi" w:cstheme="minorHAnsi"/>
          <w:i/>
          <w:color w:val="222222"/>
        </w:rPr>
        <w:t>“</w:t>
      </w:r>
      <w:r w:rsidRPr="00975B1D">
        <w:rPr>
          <w:rFonts w:asciiTheme="minorHAnsi" w:hAnsiTheme="minorHAnsi" w:cstheme="minorHAnsi"/>
          <w:i/>
          <w:color w:val="222222"/>
        </w:rPr>
        <w:t xml:space="preserve">significant workable mineral deposits should be safeguarded against other forms of development </w:t>
      </w:r>
      <w:r w:rsidRPr="00975B1D">
        <w:rPr>
          <w:rFonts w:asciiTheme="minorHAnsi" w:hAnsiTheme="minorHAnsi" w:cstheme="minorHAnsi"/>
          <w:i/>
          <w:color w:val="222222"/>
          <w:highlight w:val="darkGray"/>
        </w:rPr>
        <w:t>and, whenever practicable, should be extracted prior to any development which could result in their sterilisation”</w:t>
      </w:r>
      <w:r w:rsidRPr="00975B1D">
        <w:rPr>
          <w:rFonts w:asciiTheme="minorHAnsi" w:hAnsiTheme="minorHAnsi" w:cstheme="minorHAnsi"/>
          <w:i/>
        </w:rPr>
        <w:t xml:space="preserve"> </w:t>
      </w:r>
      <w:r w:rsidRPr="00975B1D">
        <w:rPr>
          <w:rFonts w:asciiTheme="minorHAnsi" w:hAnsiTheme="minorHAnsi" w:cstheme="minorHAnsi"/>
        </w:rPr>
        <w:t xml:space="preserve"> </w:t>
      </w:r>
    </w:p>
    <w:p w:rsidR="003A6A39" w:rsidRPr="00975B1D" w:rsidRDefault="00992FD5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t xml:space="preserve"> </w:t>
      </w:r>
    </w:p>
    <w:p w:rsidR="006358B8" w:rsidRPr="00975B1D" w:rsidRDefault="00134FC2" w:rsidP="00134FC2">
      <w:pPr>
        <w:rPr>
          <w:rFonts w:asciiTheme="minorHAnsi" w:hAnsiTheme="minorHAnsi" w:cstheme="minorHAnsi"/>
          <w:b/>
          <w:i/>
        </w:rPr>
      </w:pPr>
      <w:r w:rsidRPr="00975B1D">
        <w:rPr>
          <w:rFonts w:asciiTheme="minorHAnsi" w:hAnsiTheme="minorHAnsi" w:cstheme="minorHAnsi"/>
        </w:rPr>
        <w:t>In this area, t</w:t>
      </w:r>
      <w:r w:rsidR="00F20D2F" w:rsidRPr="00975B1D">
        <w:rPr>
          <w:rFonts w:asciiTheme="minorHAnsi" w:hAnsiTheme="minorHAnsi" w:cstheme="minorHAnsi"/>
        </w:rPr>
        <w:t>he Planning Inspector</w:t>
      </w:r>
      <w:r w:rsidR="00992FD5" w:rsidRPr="00975B1D">
        <w:rPr>
          <w:rFonts w:asciiTheme="minorHAnsi" w:hAnsiTheme="minorHAnsi" w:cstheme="minorHAnsi"/>
        </w:rPr>
        <w:t xml:space="preserve"> w</w:t>
      </w:r>
      <w:r w:rsidR="00F20D2F" w:rsidRPr="00975B1D">
        <w:rPr>
          <w:rFonts w:asciiTheme="minorHAnsi" w:hAnsiTheme="minorHAnsi" w:cstheme="minorHAnsi"/>
        </w:rPr>
        <w:t>as</w:t>
      </w:r>
      <w:r w:rsidR="00992FD5" w:rsidRPr="00975B1D">
        <w:rPr>
          <w:rFonts w:asciiTheme="minorHAnsi" w:hAnsiTheme="minorHAnsi" w:cstheme="minorHAnsi"/>
        </w:rPr>
        <w:t xml:space="preserve"> very careful wording </w:t>
      </w:r>
      <w:r w:rsidR="00F20D2F" w:rsidRPr="00975B1D">
        <w:rPr>
          <w:rFonts w:asciiTheme="minorHAnsi" w:hAnsiTheme="minorHAnsi" w:cstheme="minorHAnsi"/>
        </w:rPr>
        <w:t>his decision</w:t>
      </w:r>
      <w:r w:rsidR="00242B85" w:rsidRPr="00975B1D">
        <w:rPr>
          <w:rFonts w:asciiTheme="minorHAnsi" w:hAnsiTheme="minorHAnsi" w:cstheme="minorHAnsi"/>
        </w:rPr>
        <w:t>:</w:t>
      </w:r>
      <w:r w:rsidR="00ED10AC" w:rsidRPr="00975B1D">
        <w:rPr>
          <w:rFonts w:asciiTheme="minorHAnsi" w:hAnsiTheme="minorHAnsi" w:cstheme="minorHAnsi"/>
        </w:rPr>
        <w:t xml:space="preserve"> </w:t>
      </w:r>
      <w:r w:rsidR="00393554" w:rsidRPr="00975B1D">
        <w:rPr>
          <w:rFonts w:asciiTheme="minorHAnsi" w:hAnsiTheme="minorHAnsi" w:cstheme="minorHAnsi"/>
          <w:i/>
        </w:rPr>
        <w:t>“This potential risk</w:t>
      </w:r>
      <w:r w:rsidR="00F20D2F" w:rsidRPr="00975B1D">
        <w:rPr>
          <w:rStyle w:val="FootnoteReference"/>
          <w:rFonts w:asciiTheme="minorHAnsi" w:hAnsiTheme="minorHAnsi" w:cstheme="minorHAnsi"/>
          <w:i/>
        </w:rPr>
        <w:footnoteReference w:id="3"/>
      </w:r>
      <w:r w:rsidR="00393554" w:rsidRPr="00975B1D">
        <w:rPr>
          <w:rFonts w:asciiTheme="minorHAnsi" w:hAnsiTheme="minorHAnsi" w:cstheme="minorHAnsi"/>
          <w:i/>
        </w:rPr>
        <w:t xml:space="preserve"> could be addressed by way of a condition requiring a land stability risk assessment </w:t>
      </w:r>
      <w:r w:rsidR="00393554" w:rsidRPr="00975B1D">
        <w:rPr>
          <w:rFonts w:asciiTheme="minorHAnsi" w:hAnsiTheme="minorHAnsi" w:cstheme="minorHAnsi"/>
          <w:b/>
          <w:i/>
          <w:u w:val="single"/>
        </w:rPr>
        <w:t>to be submitted for approval alongside the submission of reserved matters</w:t>
      </w:r>
      <w:r w:rsidR="00393554" w:rsidRPr="00975B1D">
        <w:rPr>
          <w:rFonts w:asciiTheme="minorHAnsi" w:hAnsiTheme="minorHAnsi" w:cstheme="minorHAnsi"/>
          <w:b/>
          <w:i/>
        </w:rPr>
        <w:t>”</w:t>
      </w:r>
      <w:r w:rsidR="006358B8" w:rsidRPr="00975B1D">
        <w:rPr>
          <w:rStyle w:val="FootnoteReference"/>
          <w:rFonts w:asciiTheme="minorHAnsi" w:hAnsiTheme="minorHAnsi" w:cstheme="minorHAnsi"/>
        </w:rPr>
        <w:t xml:space="preserve"> </w:t>
      </w:r>
      <w:r w:rsidR="006358B8" w:rsidRPr="00975B1D">
        <w:rPr>
          <w:rStyle w:val="FootnoteReference"/>
          <w:rFonts w:asciiTheme="minorHAnsi" w:hAnsiTheme="minorHAnsi" w:cstheme="minorHAnsi"/>
        </w:rPr>
        <w:footnoteReference w:id="4"/>
      </w:r>
      <w:r w:rsidR="00F20D2F" w:rsidRPr="00975B1D">
        <w:rPr>
          <w:rFonts w:asciiTheme="minorHAnsi" w:hAnsiTheme="minorHAnsi" w:cstheme="minorHAnsi"/>
          <w:b/>
          <w:i/>
        </w:rPr>
        <w:t>.</w:t>
      </w:r>
      <w:r w:rsidRPr="00975B1D">
        <w:rPr>
          <w:rFonts w:asciiTheme="minorHAnsi" w:hAnsiTheme="minorHAnsi" w:cstheme="minorHAnsi"/>
          <w:b/>
          <w:i/>
        </w:rPr>
        <w:t xml:space="preserve">  </w:t>
      </w:r>
    </w:p>
    <w:p w:rsidR="006358B8" w:rsidRPr="00975B1D" w:rsidRDefault="006358B8" w:rsidP="00134FC2">
      <w:pPr>
        <w:rPr>
          <w:rFonts w:asciiTheme="minorHAnsi" w:hAnsiTheme="minorHAnsi" w:cstheme="minorHAnsi"/>
          <w:b/>
          <w:i/>
        </w:rPr>
      </w:pPr>
    </w:p>
    <w:p w:rsidR="003044EC" w:rsidRPr="00975B1D" w:rsidRDefault="00304439" w:rsidP="00134FC2">
      <w:pPr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t xml:space="preserve">The consequent </w:t>
      </w:r>
      <w:r w:rsidR="008D3F32" w:rsidRPr="00975B1D">
        <w:rPr>
          <w:rFonts w:asciiTheme="minorHAnsi" w:hAnsiTheme="minorHAnsi" w:cstheme="minorHAnsi"/>
        </w:rPr>
        <w:t>Condition 7 requires</w:t>
      </w:r>
      <w:r w:rsidR="00992FD5" w:rsidRPr="00975B1D">
        <w:rPr>
          <w:rFonts w:asciiTheme="minorHAnsi" w:hAnsiTheme="minorHAnsi" w:cstheme="minorHAnsi"/>
        </w:rPr>
        <w:t xml:space="preserve"> a “Land Stability Risk Assessment” includ</w:t>
      </w:r>
      <w:r w:rsidR="00242B85" w:rsidRPr="00975B1D">
        <w:rPr>
          <w:rFonts w:asciiTheme="minorHAnsi" w:hAnsiTheme="minorHAnsi" w:cstheme="minorHAnsi"/>
        </w:rPr>
        <w:t>ing</w:t>
      </w:r>
      <w:r w:rsidR="00992FD5" w:rsidRPr="00975B1D">
        <w:rPr>
          <w:rFonts w:asciiTheme="minorHAnsi" w:hAnsiTheme="minorHAnsi" w:cstheme="minorHAnsi"/>
        </w:rPr>
        <w:t xml:space="preserve"> </w:t>
      </w:r>
      <w:r w:rsidR="00992FD5" w:rsidRPr="00975B1D">
        <w:rPr>
          <w:rFonts w:asciiTheme="minorHAnsi" w:hAnsiTheme="minorHAnsi" w:cstheme="minorHAnsi"/>
          <w:i/>
        </w:rPr>
        <w:t>“details of intrusive site investigations</w:t>
      </w:r>
      <w:r w:rsidR="00992FD5" w:rsidRPr="00975B1D">
        <w:rPr>
          <w:rFonts w:asciiTheme="minorHAnsi" w:hAnsiTheme="minorHAnsi" w:cstheme="minorHAnsi"/>
          <w:b/>
          <w:i/>
        </w:rPr>
        <w:t xml:space="preserve">, </w:t>
      </w:r>
      <w:r w:rsidR="00992FD5" w:rsidRPr="00975B1D">
        <w:rPr>
          <w:rFonts w:asciiTheme="minorHAnsi" w:hAnsiTheme="minorHAnsi" w:cstheme="minorHAnsi"/>
          <w:b/>
          <w:i/>
          <w:u w:val="single" w:color="000000"/>
        </w:rPr>
        <w:t>an</w:t>
      </w:r>
      <w:r w:rsidR="00992FD5" w:rsidRPr="00975B1D">
        <w:rPr>
          <w:rFonts w:asciiTheme="minorHAnsi" w:hAnsiTheme="minorHAnsi" w:cstheme="minorHAnsi"/>
          <w:b/>
          <w:i/>
        </w:rPr>
        <w:t xml:space="preserve"> </w:t>
      </w:r>
      <w:r w:rsidR="00992FD5" w:rsidRPr="00975B1D">
        <w:rPr>
          <w:rFonts w:asciiTheme="minorHAnsi" w:hAnsiTheme="minorHAnsi" w:cstheme="minorHAnsi"/>
          <w:b/>
          <w:i/>
          <w:u w:val="single" w:color="000000"/>
        </w:rPr>
        <w:t>assessment of land stability risks</w:t>
      </w:r>
      <w:r w:rsidR="00992FD5" w:rsidRPr="00975B1D">
        <w:rPr>
          <w:rFonts w:asciiTheme="minorHAnsi" w:hAnsiTheme="minorHAnsi" w:cstheme="minorHAnsi"/>
          <w:b/>
          <w:i/>
        </w:rPr>
        <w:t xml:space="preserve"> </w:t>
      </w:r>
      <w:r w:rsidR="00992FD5" w:rsidRPr="00975B1D">
        <w:rPr>
          <w:rFonts w:asciiTheme="minorHAnsi" w:hAnsiTheme="minorHAnsi" w:cstheme="minorHAnsi"/>
          <w:i/>
        </w:rPr>
        <w:t>and mitigation measures…..</w:t>
      </w:r>
      <w:proofErr w:type="gramStart"/>
      <w:r w:rsidR="00992FD5" w:rsidRPr="00975B1D">
        <w:rPr>
          <w:rFonts w:asciiTheme="minorHAnsi" w:hAnsiTheme="minorHAnsi" w:cstheme="minorHAnsi"/>
          <w:i/>
        </w:rPr>
        <w:t>”</w:t>
      </w:r>
      <w:r w:rsidR="00EA59DE" w:rsidRPr="00975B1D">
        <w:rPr>
          <w:rFonts w:asciiTheme="minorHAnsi" w:hAnsiTheme="minorHAnsi" w:cstheme="minorHAnsi"/>
          <w:i/>
        </w:rPr>
        <w:t>.</w:t>
      </w:r>
      <w:proofErr w:type="gramEnd"/>
      <w:r w:rsidR="00EA59DE" w:rsidRPr="00975B1D">
        <w:rPr>
          <w:rFonts w:asciiTheme="minorHAnsi" w:hAnsiTheme="minorHAnsi" w:cstheme="minorHAnsi"/>
          <w:i/>
        </w:rPr>
        <w:t xml:space="preserve"> </w:t>
      </w:r>
      <w:r w:rsidR="00242B85" w:rsidRPr="00975B1D">
        <w:rPr>
          <w:rFonts w:asciiTheme="minorHAnsi" w:hAnsiTheme="minorHAnsi" w:cstheme="minorHAnsi"/>
        </w:rPr>
        <w:t>Against</w:t>
      </w:r>
      <w:r w:rsidR="008D3F32" w:rsidRPr="00975B1D">
        <w:rPr>
          <w:rFonts w:asciiTheme="minorHAnsi" w:hAnsiTheme="minorHAnsi" w:cstheme="minorHAnsi"/>
        </w:rPr>
        <w:t xml:space="preserve"> advice from</w:t>
      </w:r>
      <w:r w:rsidR="008D3F32" w:rsidRPr="00975B1D">
        <w:rPr>
          <w:rFonts w:asciiTheme="minorHAnsi" w:hAnsiTheme="minorHAnsi" w:cstheme="minorHAnsi"/>
          <w:i/>
        </w:rPr>
        <w:t xml:space="preserve"> </w:t>
      </w:r>
      <w:r w:rsidR="008D3F32" w:rsidRPr="00975B1D">
        <w:rPr>
          <w:rFonts w:asciiTheme="minorHAnsi" w:hAnsiTheme="minorHAnsi" w:cstheme="minorHAnsi"/>
        </w:rPr>
        <w:t>the</w:t>
      </w:r>
      <w:r w:rsidR="009306F2" w:rsidRPr="00975B1D">
        <w:rPr>
          <w:rFonts w:asciiTheme="minorHAnsi" w:hAnsiTheme="minorHAnsi" w:cstheme="minorHAnsi"/>
        </w:rPr>
        <w:t xml:space="preserve"> Council solicitor</w:t>
      </w:r>
      <w:r w:rsidR="008D3F32" w:rsidRPr="00975B1D">
        <w:rPr>
          <w:rFonts w:asciiTheme="minorHAnsi" w:hAnsiTheme="minorHAnsi" w:cstheme="minorHAnsi"/>
        </w:rPr>
        <w:t>,</w:t>
      </w:r>
      <w:r w:rsidR="00B254AC" w:rsidRPr="00975B1D">
        <w:rPr>
          <w:rFonts w:asciiTheme="minorHAnsi" w:hAnsiTheme="minorHAnsi" w:cstheme="minorHAnsi"/>
        </w:rPr>
        <w:t xml:space="preserve"> </w:t>
      </w:r>
      <w:r w:rsidR="009306F2" w:rsidRPr="00975B1D">
        <w:rPr>
          <w:rFonts w:asciiTheme="minorHAnsi" w:hAnsiTheme="minorHAnsi" w:cstheme="minorHAnsi"/>
        </w:rPr>
        <w:t xml:space="preserve">with no professional geological advice and </w:t>
      </w:r>
      <w:r w:rsidR="00B254AC" w:rsidRPr="00975B1D">
        <w:rPr>
          <w:rFonts w:asciiTheme="minorHAnsi" w:hAnsiTheme="minorHAnsi" w:cstheme="minorHAnsi"/>
        </w:rPr>
        <w:t>without any assessment of land stability</w:t>
      </w:r>
      <w:r w:rsidR="009306F2" w:rsidRPr="00975B1D">
        <w:rPr>
          <w:rFonts w:asciiTheme="minorHAnsi" w:hAnsiTheme="minorHAnsi" w:cstheme="minorHAnsi"/>
        </w:rPr>
        <w:t xml:space="preserve"> risks, </w:t>
      </w:r>
      <w:r w:rsidRPr="00975B1D">
        <w:rPr>
          <w:rFonts w:asciiTheme="minorHAnsi" w:hAnsiTheme="minorHAnsi" w:cstheme="minorHAnsi"/>
        </w:rPr>
        <w:t>Officers</w:t>
      </w:r>
      <w:r w:rsidR="00EA59DE" w:rsidRPr="00975B1D">
        <w:rPr>
          <w:rFonts w:asciiTheme="minorHAnsi" w:hAnsiTheme="minorHAnsi" w:cstheme="minorHAnsi"/>
        </w:rPr>
        <w:t xml:space="preserve"> discharged that</w:t>
      </w:r>
      <w:r w:rsidRPr="00975B1D">
        <w:rPr>
          <w:rFonts w:asciiTheme="minorHAnsi" w:hAnsiTheme="minorHAnsi" w:cstheme="minorHAnsi"/>
        </w:rPr>
        <w:t xml:space="preserve"> condition</w:t>
      </w:r>
      <w:r w:rsidR="00ED10AC" w:rsidRPr="00975B1D">
        <w:rPr>
          <w:rFonts w:asciiTheme="minorHAnsi" w:hAnsiTheme="minorHAnsi" w:cstheme="minorHAnsi"/>
        </w:rPr>
        <w:t xml:space="preserve"> in August ‘16</w:t>
      </w:r>
      <w:r w:rsidRPr="00975B1D">
        <w:rPr>
          <w:rFonts w:asciiTheme="minorHAnsi" w:hAnsiTheme="minorHAnsi" w:cstheme="minorHAnsi"/>
        </w:rPr>
        <w:t xml:space="preserve"> independently of </w:t>
      </w:r>
      <w:r w:rsidR="00EA59DE" w:rsidRPr="00975B1D">
        <w:rPr>
          <w:rFonts w:asciiTheme="minorHAnsi" w:hAnsiTheme="minorHAnsi" w:cstheme="minorHAnsi"/>
        </w:rPr>
        <w:t>reserved matters</w:t>
      </w:r>
      <w:r w:rsidR="008D3F32" w:rsidRPr="00975B1D">
        <w:rPr>
          <w:rFonts w:asciiTheme="minorHAnsi" w:hAnsiTheme="minorHAnsi" w:cstheme="minorHAnsi"/>
        </w:rPr>
        <w:t>.</w:t>
      </w:r>
      <w:r w:rsidRPr="00975B1D">
        <w:rPr>
          <w:rFonts w:asciiTheme="minorHAnsi" w:hAnsiTheme="minorHAnsi" w:cstheme="minorHAnsi"/>
        </w:rPr>
        <w:t xml:space="preserve"> </w:t>
      </w:r>
      <w:r w:rsidR="0014129F" w:rsidRPr="00975B1D">
        <w:rPr>
          <w:rFonts w:asciiTheme="minorHAnsi" w:hAnsiTheme="minorHAnsi" w:cstheme="minorHAnsi"/>
        </w:rPr>
        <w:t xml:space="preserve">Our </w:t>
      </w:r>
      <w:r w:rsidR="00242B85" w:rsidRPr="00975B1D">
        <w:rPr>
          <w:rFonts w:asciiTheme="minorHAnsi" w:hAnsiTheme="minorHAnsi" w:cstheme="minorHAnsi"/>
        </w:rPr>
        <w:t>lawyers</w:t>
      </w:r>
      <w:r w:rsidR="0014129F" w:rsidRPr="00975B1D">
        <w:rPr>
          <w:rFonts w:asciiTheme="minorHAnsi" w:hAnsiTheme="minorHAnsi" w:cstheme="minorHAnsi"/>
        </w:rPr>
        <w:t xml:space="preserve"> make clear</w:t>
      </w:r>
      <w:r w:rsidR="0014129F" w:rsidRPr="00975B1D">
        <w:rPr>
          <w:rStyle w:val="FootnoteReference"/>
          <w:rFonts w:asciiTheme="minorHAnsi" w:hAnsiTheme="minorHAnsi" w:cstheme="minorHAnsi"/>
        </w:rPr>
        <w:footnoteReference w:id="5"/>
      </w:r>
      <w:r w:rsidR="0014129F" w:rsidRPr="00975B1D">
        <w:rPr>
          <w:rFonts w:asciiTheme="minorHAnsi" w:hAnsiTheme="minorHAnsi" w:cstheme="minorHAnsi"/>
        </w:rPr>
        <w:t xml:space="preserve"> that Condition 7 has not been </w:t>
      </w:r>
      <w:r w:rsidR="0014129F" w:rsidRPr="00975B1D">
        <w:rPr>
          <w:rFonts w:asciiTheme="minorHAnsi" w:hAnsiTheme="minorHAnsi" w:cstheme="minorHAnsi"/>
          <w:u w:val="single"/>
        </w:rPr>
        <w:t>fully</w:t>
      </w:r>
      <w:r w:rsidR="0014129F" w:rsidRPr="00975B1D">
        <w:rPr>
          <w:rFonts w:asciiTheme="minorHAnsi" w:hAnsiTheme="minorHAnsi" w:cstheme="minorHAnsi"/>
        </w:rPr>
        <w:t xml:space="preserve"> discharged, and </w:t>
      </w:r>
      <w:r w:rsidR="00992FD5" w:rsidRPr="00975B1D">
        <w:rPr>
          <w:rFonts w:asciiTheme="minorHAnsi" w:hAnsiTheme="minorHAnsi" w:cstheme="minorHAnsi"/>
        </w:rPr>
        <w:t>GWP</w:t>
      </w:r>
      <w:r w:rsidR="008D3F32" w:rsidRPr="00975B1D">
        <w:rPr>
          <w:rFonts w:asciiTheme="minorHAnsi" w:hAnsiTheme="minorHAnsi" w:cstheme="minorHAnsi"/>
        </w:rPr>
        <w:t xml:space="preserve"> provide evidence</w:t>
      </w:r>
      <w:r w:rsidR="008D3F32" w:rsidRPr="00975B1D">
        <w:rPr>
          <w:rFonts w:asciiTheme="minorHAnsi" w:hAnsiTheme="minorHAnsi" w:cstheme="minorHAnsi"/>
          <w:vertAlign w:val="superscript"/>
        </w:rPr>
        <w:footnoteReference w:id="6"/>
      </w:r>
      <w:r w:rsidR="0081474C" w:rsidRPr="00975B1D">
        <w:rPr>
          <w:rFonts w:asciiTheme="minorHAnsi" w:hAnsiTheme="minorHAnsi" w:cstheme="minorHAnsi"/>
        </w:rPr>
        <w:t xml:space="preserve"> </w:t>
      </w:r>
      <w:r w:rsidR="00233A65" w:rsidRPr="00975B1D">
        <w:rPr>
          <w:rStyle w:val="FootnoteReference"/>
          <w:rFonts w:asciiTheme="minorHAnsi" w:hAnsiTheme="minorHAnsi" w:cstheme="minorHAnsi"/>
        </w:rPr>
        <w:footnoteReference w:id="7"/>
      </w:r>
      <w:r w:rsidR="008D3F32" w:rsidRPr="00975B1D">
        <w:rPr>
          <w:rFonts w:asciiTheme="minorHAnsi" w:hAnsiTheme="minorHAnsi" w:cstheme="minorHAnsi"/>
        </w:rPr>
        <w:t xml:space="preserve"> that the </w:t>
      </w:r>
      <w:r w:rsidR="0077649E" w:rsidRPr="00975B1D">
        <w:rPr>
          <w:rFonts w:asciiTheme="minorHAnsi" w:hAnsiTheme="minorHAnsi" w:cstheme="minorHAnsi"/>
        </w:rPr>
        <w:t>lack</w:t>
      </w:r>
      <w:r w:rsidR="008D3F32" w:rsidRPr="00975B1D">
        <w:rPr>
          <w:rFonts w:asciiTheme="minorHAnsi" w:hAnsiTheme="minorHAnsi" w:cstheme="minorHAnsi"/>
        </w:rPr>
        <w:t xml:space="preserve"> of </w:t>
      </w:r>
      <w:r w:rsidR="0014129F" w:rsidRPr="00975B1D">
        <w:rPr>
          <w:rFonts w:asciiTheme="minorHAnsi" w:hAnsiTheme="minorHAnsi" w:cstheme="minorHAnsi"/>
        </w:rPr>
        <w:t>the required</w:t>
      </w:r>
      <w:r w:rsidR="00992FD5" w:rsidRPr="00975B1D">
        <w:rPr>
          <w:rFonts w:asciiTheme="minorHAnsi" w:hAnsiTheme="minorHAnsi" w:cstheme="minorHAnsi"/>
        </w:rPr>
        <w:t xml:space="preserve"> assessment</w:t>
      </w:r>
      <w:r w:rsidR="0014129F" w:rsidRPr="00975B1D">
        <w:rPr>
          <w:rFonts w:asciiTheme="minorHAnsi" w:hAnsiTheme="minorHAnsi" w:cstheme="minorHAnsi"/>
        </w:rPr>
        <w:t xml:space="preserve"> of land stability</w:t>
      </w:r>
      <w:r w:rsidR="00992FD5" w:rsidRPr="00975B1D">
        <w:rPr>
          <w:rFonts w:asciiTheme="minorHAnsi" w:hAnsiTheme="minorHAnsi" w:cstheme="minorHAnsi"/>
        </w:rPr>
        <w:t xml:space="preserve"> </w:t>
      </w:r>
      <w:r w:rsidR="0014129F" w:rsidRPr="00975B1D">
        <w:rPr>
          <w:rFonts w:asciiTheme="minorHAnsi" w:hAnsiTheme="minorHAnsi" w:cstheme="minorHAnsi"/>
        </w:rPr>
        <w:t>carries substantial risk.</w:t>
      </w:r>
    </w:p>
    <w:p w:rsidR="003044EC" w:rsidRPr="00975B1D" w:rsidRDefault="00992FD5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t xml:space="preserve"> </w:t>
      </w:r>
    </w:p>
    <w:p w:rsidR="006B3FB5" w:rsidRPr="00975B1D" w:rsidRDefault="0077649E" w:rsidP="006B3FB5">
      <w:pPr>
        <w:ind w:left="-5"/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t>To ensure the obvious,</w:t>
      </w:r>
      <w:r w:rsidR="00992FD5" w:rsidRPr="00975B1D">
        <w:rPr>
          <w:rFonts w:asciiTheme="minorHAnsi" w:hAnsiTheme="minorHAnsi" w:cstheme="minorHAnsi"/>
        </w:rPr>
        <w:t xml:space="preserve"> common-sense </w:t>
      </w:r>
      <w:proofErr w:type="gramStart"/>
      <w:r w:rsidR="00992FD5" w:rsidRPr="00975B1D">
        <w:rPr>
          <w:rFonts w:asciiTheme="minorHAnsi" w:hAnsiTheme="minorHAnsi" w:cstheme="minorHAnsi"/>
        </w:rPr>
        <w:t>risks</w:t>
      </w:r>
      <w:r w:rsidR="00F45EF8" w:rsidRPr="00975B1D">
        <w:rPr>
          <w:rFonts w:asciiTheme="minorHAnsi" w:hAnsiTheme="minorHAnsi" w:cstheme="minorHAnsi"/>
        </w:rPr>
        <w:t xml:space="preserve"> – noise and vibration -</w:t>
      </w:r>
      <w:r w:rsidR="00992FD5" w:rsidRPr="00975B1D">
        <w:rPr>
          <w:rFonts w:asciiTheme="minorHAnsi" w:hAnsiTheme="minorHAnsi" w:cstheme="minorHAnsi"/>
        </w:rPr>
        <w:t xml:space="preserve"> of building </w:t>
      </w:r>
      <w:r w:rsidRPr="00975B1D">
        <w:rPr>
          <w:rFonts w:asciiTheme="minorHAnsi" w:hAnsiTheme="minorHAnsi" w:cstheme="minorHAnsi"/>
        </w:rPr>
        <w:t>above</w:t>
      </w:r>
      <w:r w:rsidR="00992FD5" w:rsidRPr="00975B1D">
        <w:rPr>
          <w:rFonts w:asciiTheme="minorHAnsi" w:hAnsiTheme="minorHAnsi" w:cstheme="minorHAnsi"/>
        </w:rPr>
        <w:t xml:space="preserve"> a </w:t>
      </w:r>
      <w:r w:rsidR="006B3FB5" w:rsidRPr="00975B1D">
        <w:rPr>
          <w:rFonts w:asciiTheme="minorHAnsi" w:hAnsiTheme="minorHAnsi" w:cstheme="minorHAnsi"/>
        </w:rPr>
        <w:t xml:space="preserve">working </w:t>
      </w:r>
      <w:r w:rsidR="00992FD5" w:rsidRPr="00975B1D">
        <w:rPr>
          <w:rFonts w:asciiTheme="minorHAnsi" w:hAnsiTheme="minorHAnsi" w:cstheme="minorHAnsi"/>
        </w:rPr>
        <w:t xml:space="preserve">mine are </w:t>
      </w:r>
      <w:r w:rsidR="009306F2" w:rsidRPr="00975B1D">
        <w:rPr>
          <w:rFonts w:asciiTheme="minorHAnsi" w:hAnsiTheme="minorHAnsi" w:cstheme="minorHAnsi"/>
        </w:rPr>
        <w:t>properly assessed</w:t>
      </w:r>
      <w:r w:rsidR="00992FD5" w:rsidRPr="00975B1D">
        <w:rPr>
          <w:rFonts w:asciiTheme="minorHAnsi" w:hAnsiTheme="minorHAnsi" w:cstheme="minorHAnsi"/>
        </w:rPr>
        <w:t>, the Inspector requires</w:t>
      </w:r>
      <w:proofErr w:type="gramEnd"/>
      <w:r w:rsidR="00414BD4" w:rsidRPr="00975B1D">
        <w:rPr>
          <w:rStyle w:val="FootnoteReference"/>
          <w:rFonts w:asciiTheme="minorHAnsi" w:hAnsiTheme="minorHAnsi" w:cstheme="minorHAnsi"/>
        </w:rPr>
        <w:footnoteReference w:id="8"/>
      </w:r>
      <w:r w:rsidR="00992FD5" w:rsidRPr="00975B1D">
        <w:rPr>
          <w:rFonts w:asciiTheme="minorHAnsi" w:hAnsiTheme="minorHAnsi" w:cstheme="minorHAnsi"/>
        </w:rPr>
        <w:t xml:space="preserve"> that “</w:t>
      </w:r>
      <w:r w:rsidR="00992FD5" w:rsidRPr="00975B1D">
        <w:rPr>
          <w:rFonts w:asciiTheme="minorHAnsi" w:hAnsiTheme="minorHAnsi" w:cstheme="minorHAnsi"/>
          <w:i/>
        </w:rPr>
        <w:t>No development shall take place until a Foundation Investigation Plan”</w:t>
      </w:r>
      <w:r w:rsidR="00992FD5" w:rsidRPr="00975B1D">
        <w:rPr>
          <w:rFonts w:asciiTheme="minorHAnsi" w:hAnsiTheme="minorHAnsi" w:cstheme="minorHAnsi"/>
          <w:vertAlign w:val="superscript"/>
        </w:rPr>
        <w:footnoteReference w:id="9"/>
      </w:r>
      <w:r w:rsidR="00992FD5" w:rsidRPr="00975B1D">
        <w:rPr>
          <w:rFonts w:asciiTheme="minorHAnsi" w:hAnsiTheme="minorHAnsi" w:cstheme="minorHAnsi"/>
        </w:rPr>
        <w:t xml:space="preserve"> is agreed.  </w:t>
      </w:r>
      <w:r w:rsidR="009306F2" w:rsidRPr="00975B1D">
        <w:rPr>
          <w:rFonts w:asciiTheme="minorHAnsi" w:hAnsiTheme="minorHAnsi" w:cstheme="minorHAnsi"/>
        </w:rPr>
        <w:t>All</w:t>
      </w:r>
      <w:r w:rsidR="00ED10AC" w:rsidRPr="00975B1D">
        <w:rPr>
          <w:rFonts w:asciiTheme="minorHAnsi" w:hAnsiTheme="minorHAnsi" w:cstheme="minorHAnsi"/>
        </w:rPr>
        <w:t xml:space="preserve"> Gladman</w:t>
      </w:r>
      <w:r w:rsidRPr="00975B1D">
        <w:rPr>
          <w:rFonts w:asciiTheme="minorHAnsi" w:hAnsiTheme="minorHAnsi" w:cstheme="minorHAnsi"/>
        </w:rPr>
        <w:t xml:space="preserve">’s </w:t>
      </w:r>
      <w:r w:rsidR="009306F2" w:rsidRPr="00975B1D">
        <w:rPr>
          <w:rFonts w:asciiTheme="minorHAnsi" w:hAnsiTheme="minorHAnsi" w:cstheme="minorHAnsi"/>
        </w:rPr>
        <w:t xml:space="preserve">efforts </w:t>
      </w:r>
      <w:r w:rsidRPr="00975B1D">
        <w:rPr>
          <w:rFonts w:asciiTheme="minorHAnsi" w:hAnsiTheme="minorHAnsi" w:cstheme="minorHAnsi"/>
        </w:rPr>
        <w:t xml:space="preserve">over the last two years </w:t>
      </w:r>
      <w:r w:rsidR="00992FD5" w:rsidRPr="00975B1D">
        <w:rPr>
          <w:rFonts w:asciiTheme="minorHAnsi" w:hAnsiTheme="minorHAnsi" w:cstheme="minorHAnsi"/>
        </w:rPr>
        <w:t>to discharge those conditions</w:t>
      </w:r>
      <w:r w:rsidR="009306F2" w:rsidRPr="00975B1D">
        <w:rPr>
          <w:rFonts w:asciiTheme="minorHAnsi" w:hAnsiTheme="minorHAnsi" w:cstheme="minorHAnsi"/>
        </w:rPr>
        <w:t xml:space="preserve"> </w:t>
      </w:r>
      <w:r w:rsidR="00992FD5" w:rsidRPr="00975B1D">
        <w:rPr>
          <w:rFonts w:asciiTheme="minorHAnsi" w:hAnsiTheme="minorHAnsi" w:cstheme="minorHAnsi"/>
        </w:rPr>
        <w:t>have failed</w:t>
      </w:r>
      <w:r w:rsidR="00503CF0" w:rsidRPr="00975B1D">
        <w:rPr>
          <w:rFonts w:asciiTheme="minorHAnsi" w:hAnsiTheme="minorHAnsi" w:cstheme="minorHAnsi"/>
        </w:rPr>
        <w:t xml:space="preserve"> – most recently on 31 August</w:t>
      </w:r>
      <w:r w:rsidR="006B3FB5" w:rsidRPr="00975B1D">
        <w:rPr>
          <w:rFonts w:asciiTheme="minorHAnsi" w:hAnsiTheme="minorHAnsi" w:cstheme="minorHAnsi"/>
        </w:rPr>
        <w:t>.</w:t>
      </w:r>
    </w:p>
    <w:p w:rsidR="003044EC" w:rsidRPr="00975B1D" w:rsidRDefault="00992FD5">
      <w:pPr>
        <w:ind w:left="-5"/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t xml:space="preserve">  </w:t>
      </w:r>
      <w:r w:rsidRPr="00975B1D">
        <w:rPr>
          <w:rFonts w:asciiTheme="minorHAnsi" w:hAnsiTheme="minorHAnsi" w:cstheme="minorHAnsi"/>
          <w:b/>
          <w:color w:val="FF0000"/>
        </w:rPr>
        <w:tab/>
        <w:t xml:space="preserve"> </w:t>
      </w:r>
      <w:r w:rsidRPr="00975B1D">
        <w:rPr>
          <w:rFonts w:asciiTheme="minorHAnsi" w:hAnsiTheme="minorHAnsi" w:cstheme="minorHAnsi"/>
          <w:b/>
          <w:color w:val="FF0000"/>
        </w:rPr>
        <w:tab/>
        <w:t xml:space="preserve"> </w:t>
      </w:r>
      <w:r w:rsidRPr="00975B1D">
        <w:rPr>
          <w:rFonts w:asciiTheme="minorHAnsi" w:hAnsiTheme="minorHAnsi" w:cstheme="minorHAnsi"/>
          <w:b/>
          <w:color w:val="FF0000"/>
        </w:rPr>
        <w:tab/>
        <w:t xml:space="preserve"> </w:t>
      </w:r>
      <w:r w:rsidRPr="00975B1D">
        <w:rPr>
          <w:rFonts w:asciiTheme="minorHAnsi" w:hAnsiTheme="minorHAnsi" w:cstheme="minorHAnsi"/>
          <w:b/>
          <w:color w:val="FF0000"/>
        </w:rPr>
        <w:tab/>
        <w:t xml:space="preserve"> </w:t>
      </w:r>
    </w:p>
    <w:p w:rsidR="003044EC" w:rsidRPr="00975B1D" w:rsidRDefault="00992FD5" w:rsidP="006B3FB5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right" w:pos="9027"/>
        </w:tabs>
        <w:spacing w:after="0" w:line="259" w:lineRule="auto"/>
        <w:ind w:left="0" w:firstLine="0"/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  <w:b/>
          <w:color w:val="FF0000"/>
        </w:rPr>
        <w:t xml:space="preserve"> </w:t>
      </w:r>
      <w:r w:rsidRPr="00975B1D">
        <w:rPr>
          <w:rFonts w:asciiTheme="minorHAnsi" w:hAnsiTheme="minorHAnsi" w:cstheme="minorHAnsi"/>
          <w:b/>
          <w:color w:val="FF0000"/>
        </w:rPr>
        <w:tab/>
        <w:t xml:space="preserve"> </w:t>
      </w:r>
      <w:r w:rsidRPr="00975B1D">
        <w:rPr>
          <w:rFonts w:asciiTheme="minorHAnsi" w:hAnsiTheme="minorHAnsi" w:cstheme="minorHAnsi"/>
          <w:b/>
          <w:color w:val="FF0000"/>
        </w:rPr>
        <w:tab/>
        <w:t xml:space="preserve"> </w:t>
      </w:r>
      <w:r w:rsidRPr="00975B1D">
        <w:rPr>
          <w:rFonts w:asciiTheme="minorHAnsi" w:hAnsiTheme="minorHAnsi" w:cstheme="minorHAnsi"/>
          <w:b/>
          <w:color w:val="FF0000"/>
        </w:rPr>
        <w:tab/>
        <w:t xml:space="preserve"> </w:t>
      </w:r>
      <w:r w:rsidRPr="00975B1D">
        <w:rPr>
          <w:rFonts w:asciiTheme="minorHAnsi" w:hAnsiTheme="minorHAnsi" w:cstheme="minorHAnsi"/>
          <w:b/>
          <w:color w:val="FF0000"/>
        </w:rPr>
        <w:tab/>
        <w:t xml:space="preserve"> </w:t>
      </w:r>
      <w:r w:rsidRPr="00975B1D">
        <w:rPr>
          <w:rFonts w:asciiTheme="minorHAnsi" w:hAnsiTheme="minorHAnsi" w:cstheme="minorHAnsi"/>
          <w:b/>
          <w:color w:val="FF0000"/>
        </w:rPr>
        <w:tab/>
      </w:r>
      <w:r w:rsidRPr="00975B1D">
        <w:rPr>
          <w:rFonts w:asciiTheme="minorHAnsi" w:hAnsiTheme="minorHAnsi" w:cstheme="minorHAnsi"/>
        </w:rPr>
        <w:t xml:space="preserve"> </w:t>
      </w:r>
    </w:p>
    <w:p w:rsidR="00F45EF8" w:rsidRPr="00975B1D" w:rsidRDefault="00992FD5">
      <w:pPr>
        <w:ind w:left="-5"/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lastRenderedPageBreak/>
        <w:t xml:space="preserve">GWP </w:t>
      </w:r>
      <w:r w:rsidR="00B14177" w:rsidRPr="00975B1D">
        <w:rPr>
          <w:rFonts w:asciiTheme="minorHAnsi" w:hAnsiTheme="minorHAnsi" w:cstheme="minorHAnsi"/>
        </w:rPr>
        <w:t>make clear</w:t>
      </w:r>
      <w:r w:rsidRPr="00975B1D">
        <w:rPr>
          <w:rFonts w:asciiTheme="minorHAnsi" w:hAnsiTheme="minorHAnsi" w:cstheme="minorHAnsi"/>
        </w:rPr>
        <w:t xml:space="preserve"> that assumptions on depth of rock cover above the mine are fundam</w:t>
      </w:r>
      <w:r w:rsidR="00625752" w:rsidRPr="00975B1D">
        <w:rPr>
          <w:rFonts w:asciiTheme="minorHAnsi" w:hAnsiTheme="minorHAnsi" w:cstheme="minorHAnsi"/>
        </w:rPr>
        <w:t>entally incorrect</w:t>
      </w:r>
      <w:r w:rsidR="00ED10AC" w:rsidRPr="00975B1D">
        <w:rPr>
          <w:rFonts w:asciiTheme="minorHAnsi" w:hAnsiTheme="minorHAnsi" w:cstheme="minorHAnsi"/>
        </w:rPr>
        <w:t xml:space="preserve"> and misleading</w:t>
      </w:r>
      <w:r w:rsidR="00625752" w:rsidRPr="00975B1D">
        <w:rPr>
          <w:rFonts w:asciiTheme="minorHAnsi" w:hAnsiTheme="minorHAnsi" w:cstheme="minorHAnsi"/>
        </w:rPr>
        <w:t>.</w:t>
      </w:r>
      <w:r w:rsidR="006B3FB5" w:rsidRPr="00975B1D">
        <w:rPr>
          <w:rFonts w:asciiTheme="minorHAnsi" w:hAnsiTheme="minorHAnsi" w:cstheme="minorHAnsi"/>
          <w:vertAlign w:val="superscript"/>
        </w:rPr>
        <w:footnoteReference w:id="10"/>
      </w:r>
      <w:r w:rsidRPr="00975B1D">
        <w:rPr>
          <w:rFonts w:asciiTheme="minorHAnsi" w:hAnsiTheme="minorHAnsi" w:cstheme="minorHAnsi"/>
        </w:rPr>
        <w:t xml:space="preserve">  </w:t>
      </w:r>
      <w:r w:rsidR="00242B85" w:rsidRPr="00975B1D">
        <w:rPr>
          <w:rFonts w:asciiTheme="minorHAnsi" w:hAnsiTheme="minorHAnsi" w:cstheme="minorHAnsi"/>
        </w:rPr>
        <w:t xml:space="preserve">Further on-site investigation must </w:t>
      </w:r>
      <w:r w:rsidR="00503CF0" w:rsidRPr="00975B1D">
        <w:rPr>
          <w:rFonts w:asciiTheme="minorHAnsi" w:hAnsiTheme="minorHAnsi" w:cstheme="minorHAnsi"/>
        </w:rPr>
        <w:t>take place for</w:t>
      </w:r>
      <w:r w:rsidR="00242B85" w:rsidRPr="00975B1D">
        <w:rPr>
          <w:rFonts w:asciiTheme="minorHAnsi" w:hAnsiTheme="minorHAnsi" w:cstheme="minorHAnsi"/>
        </w:rPr>
        <w:t xml:space="preserve"> a competent Land Stability Risk Assessment to be made.  </w:t>
      </w:r>
      <w:r w:rsidR="00F45EF8" w:rsidRPr="00975B1D">
        <w:rPr>
          <w:rFonts w:asciiTheme="minorHAnsi" w:hAnsiTheme="minorHAnsi" w:cstheme="minorHAnsi"/>
        </w:rPr>
        <w:t xml:space="preserve">The critical impact </w:t>
      </w:r>
      <w:r w:rsidR="00503CF0" w:rsidRPr="00975B1D">
        <w:rPr>
          <w:rFonts w:asciiTheme="minorHAnsi" w:hAnsiTheme="minorHAnsi" w:cstheme="minorHAnsi"/>
        </w:rPr>
        <w:t xml:space="preserve">on these Reserved Matters </w:t>
      </w:r>
      <w:r w:rsidR="00F45EF8" w:rsidRPr="00975B1D">
        <w:rPr>
          <w:rFonts w:asciiTheme="minorHAnsi" w:hAnsiTheme="minorHAnsi" w:cstheme="minorHAnsi"/>
        </w:rPr>
        <w:t>of issues of land stability and mining must be settled first.</w:t>
      </w:r>
      <w:r w:rsidR="009306F2" w:rsidRPr="00975B1D">
        <w:rPr>
          <w:rFonts w:asciiTheme="minorHAnsi" w:hAnsiTheme="minorHAnsi" w:cstheme="minorHAnsi"/>
        </w:rPr>
        <w:t xml:space="preserve"> D</w:t>
      </w:r>
      <w:r w:rsidR="00503CF0" w:rsidRPr="00975B1D">
        <w:rPr>
          <w:rFonts w:asciiTheme="minorHAnsi" w:hAnsiTheme="minorHAnsi" w:cstheme="minorHAnsi"/>
        </w:rPr>
        <w:t>eciding</w:t>
      </w:r>
      <w:r w:rsidR="009306F2" w:rsidRPr="00975B1D">
        <w:rPr>
          <w:rFonts w:asciiTheme="minorHAnsi" w:hAnsiTheme="minorHAnsi" w:cstheme="minorHAnsi"/>
        </w:rPr>
        <w:t xml:space="preserve"> now </w:t>
      </w:r>
      <w:r w:rsidR="00503CF0" w:rsidRPr="00975B1D">
        <w:rPr>
          <w:rFonts w:asciiTheme="minorHAnsi" w:hAnsiTheme="minorHAnsi" w:cstheme="minorHAnsi"/>
        </w:rPr>
        <w:t>the</w:t>
      </w:r>
      <w:r w:rsidR="009306F2" w:rsidRPr="00975B1D">
        <w:rPr>
          <w:rFonts w:asciiTheme="minorHAnsi" w:hAnsiTheme="minorHAnsi" w:cstheme="minorHAnsi"/>
        </w:rPr>
        <w:t xml:space="preserve"> detailed layout and scale of</w:t>
      </w:r>
      <w:r w:rsidR="00503CF0" w:rsidRPr="00975B1D">
        <w:rPr>
          <w:rFonts w:asciiTheme="minorHAnsi" w:hAnsiTheme="minorHAnsi" w:cstheme="minorHAnsi"/>
        </w:rPr>
        <w:t xml:space="preserve"> development on this site is</w:t>
      </w:r>
      <w:r w:rsidR="009306F2" w:rsidRPr="00975B1D">
        <w:rPr>
          <w:rFonts w:asciiTheme="minorHAnsi" w:hAnsiTheme="minorHAnsi" w:cstheme="minorHAnsi"/>
        </w:rPr>
        <w:t xml:space="preserve"> </w:t>
      </w:r>
      <w:r w:rsidR="00503CF0" w:rsidRPr="00975B1D">
        <w:rPr>
          <w:rFonts w:asciiTheme="minorHAnsi" w:hAnsiTheme="minorHAnsi" w:cstheme="minorHAnsi"/>
        </w:rPr>
        <w:t xml:space="preserve">both </w:t>
      </w:r>
      <w:r w:rsidR="009306F2" w:rsidRPr="00975B1D">
        <w:rPr>
          <w:rFonts w:asciiTheme="minorHAnsi" w:hAnsiTheme="minorHAnsi" w:cstheme="minorHAnsi"/>
        </w:rPr>
        <w:t xml:space="preserve">premature and presumptive.  </w:t>
      </w:r>
    </w:p>
    <w:p w:rsidR="003044EC" w:rsidRPr="00975B1D" w:rsidRDefault="00992FD5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t xml:space="preserve"> </w:t>
      </w:r>
    </w:p>
    <w:p w:rsidR="003044EC" w:rsidRPr="00975B1D" w:rsidRDefault="00992FD5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t xml:space="preserve"> </w:t>
      </w:r>
      <w:r w:rsidR="00242B85" w:rsidRPr="00975B1D">
        <w:rPr>
          <w:rFonts w:asciiTheme="minorHAnsi" w:hAnsiTheme="minorHAnsi" w:cstheme="minorHAnsi"/>
        </w:rPr>
        <w:tab/>
      </w:r>
      <w:r w:rsidR="00242B85" w:rsidRPr="00975B1D">
        <w:rPr>
          <w:rFonts w:asciiTheme="minorHAnsi" w:hAnsiTheme="minorHAnsi" w:cstheme="minorHAnsi"/>
        </w:rPr>
        <w:tab/>
      </w:r>
      <w:r w:rsidR="00242B85" w:rsidRPr="00975B1D">
        <w:rPr>
          <w:rFonts w:asciiTheme="minorHAnsi" w:hAnsiTheme="minorHAnsi" w:cstheme="minorHAnsi"/>
        </w:rPr>
        <w:tab/>
      </w:r>
      <w:r w:rsidR="00242B85" w:rsidRPr="00975B1D">
        <w:rPr>
          <w:rFonts w:asciiTheme="minorHAnsi" w:hAnsiTheme="minorHAnsi" w:cstheme="minorHAnsi"/>
        </w:rPr>
        <w:tab/>
      </w:r>
      <w:r w:rsidR="00242B85" w:rsidRPr="00975B1D">
        <w:rPr>
          <w:rFonts w:asciiTheme="minorHAnsi" w:hAnsiTheme="minorHAnsi" w:cstheme="minorHAnsi"/>
        </w:rPr>
        <w:tab/>
      </w:r>
      <w:r w:rsidR="00242B85" w:rsidRPr="00975B1D">
        <w:rPr>
          <w:rFonts w:asciiTheme="minorHAnsi" w:hAnsiTheme="minorHAnsi" w:cstheme="minorHAnsi"/>
        </w:rPr>
        <w:tab/>
      </w:r>
      <w:r w:rsidR="00242B85" w:rsidRPr="00975B1D">
        <w:rPr>
          <w:rFonts w:asciiTheme="minorHAnsi" w:hAnsiTheme="minorHAnsi" w:cstheme="minorHAnsi"/>
        </w:rPr>
        <w:tab/>
      </w:r>
      <w:r w:rsidR="00242B85" w:rsidRPr="00975B1D">
        <w:rPr>
          <w:rFonts w:asciiTheme="minorHAnsi" w:hAnsiTheme="minorHAnsi" w:cstheme="minorHAnsi"/>
        </w:rPr>
        <w:tab/>
      </w:r>
      <w:r w:rsidR="00242B85" w:rsidRPr="00975B1D">
        <w:rPr>
          <w:rFonts w:asciiTheme="minorHAnsi" w:hAnsiTheme="minorHAnsi" w:cstheme="minorHAnsi"/>
        </w:rPr>
        <w:tab/>
      </w:r>
      <w:r w:rsidR="00242B85" w:rsidRPr="00975B1D">
        <w:rPr>
          <w:rFonts w:asciiTheme="minorHAnsi" w:hAnsiTheme="minorHAnsi" w:cstheme="minorHAnsi"/>
        </w:rPr>
        <w:tab/>
      </w:r>
    </w:p>
    <w:p w:rsidR="003044EC" w:rsidRPr="00975B1D" w:rsidRDefault="00992FD5">
      <w:pPr>
        <w:spacing w:after="0" w:line="259" w:lineRule="auto"/>
        <w:ind w:left="-5"/>
        <w:rPr>
          <w:rFonts w:asciiTheme="minorHAnsi" w:hAnsiTheme="minorHAnsi" w:cstheme="minorHAnsi"/>
          <w:b/>
        </w:rPr>
      </w:pPr>
      <w:r w:rsidRPr="00975B1D">
        <w:rPr>
          <w:rFonts w:asciiTheme="minorHAnsi" w:hAnsiTheme="minorHAnsi" w:cstheme="minorHAnsi"/>
          <w:b/>
        </w:rPr>
        <w:t xml:space="preserve">David </w:t>
      </w:r>
      <w:proofErr w:type="gramStart"/>
      <w:r w:rsidRPr="00975B1D">
        <w:rPr>
          <w:rFonts w:asciiTheme="minorHAnsi" w:hAnsiTheme="minorHAnsi" w:cstheme="minorHAnsi"/>
          <w:b/>
        </w:rPr>
        <w:t xml:space="preserve">Taylor </w:t>
      </w:r>
      <w:r w:rsidR="003A6A39" w:rsidRPr="00975B1D">
        <w:rPr>
          <w:rFonts w:asciiTheme="minorHAnsi" w:hAnsiTheme="minorHAnsi" w:cstheme="minorHAnsi"/>
          <w:b/>
        </w:rPr>
        <w:t>,</w:t>
      </w:r>
      <w:proofErr w:type="gramEnd"/>
      <w:r w:rsidR="003A6A39" w:rsidRPr="00975B1D">
        <w:rPr>
          <w:rFonts w:asciiTheme="minorHAnsi" w:hAnsiTheme="minorHAnsi" w:cstheme="minorHAnsi"/>
          <w:b/>
        </w:rPr>
        <w:t xml:space="preserve"> </w:t>
      </w:r>
      <w:r w:rsidRPr="00975B1D">
        <w:rPr>
          <w:rFonts w:asciiTheme="minorHAnsi" w:hAnsiTheme="minorHAnsi" w:cstheme="minorHAnsi"/>
          <w:b/>
        </w:rPr>
        <w:t xml:space="preserve">Pickwick Association </w:t>
      </w:r>
      <w:r w:rsidR="003A6A39" w:rsidRPr="00975B1D">
        <w:rPr>
          <w:rFonts w:asciiTheme="minorHAnsi" w:hAnsiTheme="minorHAnsi" w:cstheme="minorHAnsi"/>
          <w:b/>
        </w:rPr>
        <w:t xml:space="preserve">, </w:t>
      </w:r>
      <w:r w:rsidR="00625752" w:rsidRPr="00975B1D">
        <w:rPr>
          <w:rFonts w:asciiTheme="minorHAnsi" w:hAnsiTheme="minorHAnsi" w:cstheme="minorHAnsi"/>
          <w:b/>
        </w:rPr>
        <w:t>5</w:t>
      </w:r>
      <w:r w:rsidR="006B3FB5" w:rsidRPr="00975B1D">
        <w:rPr>
          <w:rFonts w:asciiTheme="minorHAnsi" w:hAnsiTheme="minorHAnsi" w:cstheme="minorHAnsi"/>
          <w:b/>
        </w:rPr>
        <w:t xml:space="preserve"> September</w:t>
      </w:r>
      <w:r w:rsidRPr="00975B1D">
        <w:rPr>
          <w:rFonts w:asciiTheme="minorHAnsi" w:hAnsiTheme="minorHAnsi" w:cstheme="minorHAnsi"/>
          <w:b/>
        </w:rPr>
        <w:t xml:space="preserve"> 2017 </w:t>
      </w:r>
    </w:p>
    <w:p w:rsidR="006B3FB5" w:rsidRPr="00975B1D" w:rsidRDefault="006B3FB5">
      <w:pPr>
        <w:spacing w:after="0" w:line="259" w:lineRule="auto"/>
        <w:ind w:left="-5"/>
        <w:rPr>
          <w:rFonts w:asciiTheme="minorHAnsi" w:hAnsiTheme="minorHAnsi" w:cstheme="minorHAnsi"/>
          <w:b/>
        </w:rPr>
      </w:pPr>
    </w:p>
    <w:p w:rsidR="006B3FB5" w:rsidRPr="00975B1D" w:rsidRDefault="006B3FB5">
      <w:pPr>
        <w:spacing w:after="0" w:line="259" w:lineRule="auto"/>
        <w:ind w:left="-5"/>
        <w:rPr>
          <w:rFonts w:asciiTheme="minorHAnsi" w:hAnsiTheme="minorHAnsi" w:cstheme="minorHAnsi"/>
        </w:rPr>
      </w:pPr>
    </w:p>
    <w:p w:rsidR="003044EC" w:rsidRPr="00975B1D" w:rsidRDefault="00992FD5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t xml:space="preserve"> </w:t>
      </w:r>
    </w:p>
    <w:p w:rsidR="003044EC" w:rsidRPr="00975B1D" w:rsidRDefault="00992FD5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right" w:pos="9027"/>
        </w:tabs>
        <w:spacing w:after="0" w:line="259" w:lineRule="auto"/>
        <w:ind w:left="0" w:firstLine="0"/>
        <w:rPr>
          <w:rFonts w:asciiTheme="minorHAnsi" w:hAnsiTheme="minorHAnsi" w:cstheme="minorHAnsi"/>
        </w:rPr>
      </w:pPr>
      <w:r w:rsidRPr="00975B1D">
        <w:rPr>
          <w:rFonts w:asciiTheme="minorHAnsi" w:hAnsiTheme="minorHAnsi" w:cstheme="minorHAnsi"/>
        </w:rPr>
        <w:t xml:space="preserve"> </w:t>
      </w:r>
      <w:r w:rsidRPr="00975B1D">
        <w:rPr>
          <w:rFonts w:asciiTheme="minorHAnsi" w:hAnsiTheme="minorHAnsi" w:cstheme="minorHAnsi"/>
        </w:rPr>
        <w:tab/>
        <w:t xml:space="preserve"> </w:t>
      </w:r>
      <w:r w:rsidRPr="00975B1D">
        <w:rPr>
          <w:rFonts w:asciiTheme="minorHAnsi" w:hAnsiTheme="minorHAnsi" w:cstheme="minorHAnsi"/>
        </w:rPr>
        <w:tab/>
        <w:t xml:space="preserve"> </w:t>
      </w:r>
      <w:r w:rsidRPr="00975B1D">
        <w:rPr>
          <w:rFonts w:asciiTheme="minorHAnsi" w:hAnsiTheme="minorHAnsi" w:cstheme="minorHAnsi"/>
        </w:rPr>
        <w:tab/>
        <w:t xml:space="preserve"> </w:t>
      </w:r>
      <w:r w:rsidRPr="00975B1D">
        <w:rPr>
          <w:rFonts w:asciiTheme="minorHAnsi" w:hAnsiTheme="minorHAnsi" w:cstheme="minorHAnsi"/>
        </w:rPr>
        <w:tab/>
        <w:t xml:space="preserve"> </w:t>
      </w:r>
      <w:r w:rsidRPr="00975B1D">
        <w:rPr>
          <w:rFonts w:asciiTheme="minorHAnsi" w:hAnsiTheme="minorHAnsi" w:cstheme="minorHAnsi"/>
        </w:rPr>
        <w:tab/>
        <w:t xml:space="preserve"> </w:t>
      </w:r>
      <w:r w:rsidRPr="00975B1D">
        <w:rPr>
          <w:rFonts w:asciiTheme="minorHAnsi" w:hAnsiTheme="minorHAnsi" w:cstheme="minorHAnsi"/>
        </w:rPr>
        <w:tab/>
        <w:t xml:space="preserve"> </w:t>
      </w:r>
      <w:r w:rsidRPr="00975B1D">
        <w:rPr>
          <w:rFonts w:asciiTheme="minorHAnsi" w:hAnsiTheme="minorHAnsi" w:cstheme="minorHAnsi"/>
        </w:rPr>
        <w:tab/>
        <w:t xml:space="preserve"> </w:t>
      </w:r>
      <w:r w:rsidRPr="00975B1D">
        <w:rPr>
          <w:rFonts w:asciiTheme="minorHAnsi" w:hAnsiTheme="minorHAnsi" w:cstheme="minorHAnsi"/>
        </w:rPr>
        <w:tab/>
        <w:t xml:space="preserve"> </w:t>
      </w:r>
      <w:r w:rsidRPr="00975B1D">
        <w:rPr>
          <w:rFonts w:asciiTheme="minorHAnsi" w:hAnsiTheme="minorHAnsi" w:cstheme="minorHAnsi"/>
        </w:rPr>
        <w:tab/>
        <w:t xml:space="preserve">  </w:t>
      </w:r>
      <w:r w:rsidRPr="00975B1D">
        <w:rPr>
          <w:rFonts w:asciiTheme="minorHAnsi" w:hAnsiTheme="minorHAnsi" w:cstheme="minorHAnsi"/>
        </w:rPr>
        <w:tab/>
        <w:t xml:space="preserve"> </w:t>
      </w:r>
      <w:r w:rsidRPr="00975B1D">
        <w:rPr>
          <w:rFonts w:asciiTheme="minorHAnsi" w:hAnsiTheme="minorHAnsi" w:cstheme="minorHAnsi"/>
        </w:rPr>
        <w:tab/>
        <w:t xml:space="preserve"> </w:t>
      </w:r>
    </w:p>
    <w:p w:rsidR="00242B85" w:rsidRPr="00975B1D" w:rsidRDefault="00242B85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right" w:pos="9027"/>
        </w:tabs>
        <w:spacing w:after="0" w:line="259" w:lineRule="auto"/>
        <w:ind w:left="0" w:firstLine="0"/>
        <w:rPr>
          <w:rFonts w:asciiTheme="minorHAnsi" w:hAnsiTheme="minorHAnsi" w:cstheme="minorHAnsi"/>
        </w:rPr>
      </w:pPr>
    </w:p>
    <w:sectPr w:rsidR="00242B85" w:rsidRPr="00975B1D">
      <w:pgSz w:w="11906" w:h="16838"/>
      <w:pgMar w:top="1176" w:right="1439" w:bottom="14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31" w:rsidRDefault="005E2D31">
      <w:pPr>
        <w:spacing w:after="0" w:line="240" w:lineRule="auto"/>
      </w:pPr>
      <w:r>
        <w:separator/>
      </w:r>
    </w:p>
  </w:endnote>
  <w:endnote w:type="continuationSeparator" w:id="0">
    <w:p w:rsidR="005E2D31" w:rsidRDefault="005E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31" w:rsidRDefault="005E2D31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:rsidR="005E2D31" w:rsidRDefault="005E2D31">
      <w:pPr>
        <w:spacing w:after="0" w:line="259" w:lineRule="auto"/>
        <w:ind w:left="0" w:firstLine="0"/>
      </w:pPr>
      <w:r>
        <w:continuationSeparator/>
      </w:r>
    </w:p>
  </w:footnote>
  <w:footnote w:id="1">
    <w:p w:rsidR="003044EC" w:rsidRDefault="00992FD5">
      <w:pPr>
        <w:pStyle w:val="footnotedescription"/>
      </w:pPr>
      <w:r>
        <w:rPr>
          <w:rStyle w:val="footnotemark"/>
        </w:rPr>
        <w:footnoteRef/>
      </w:r>
      <w:r>
        <w:t xml:space="preserve"> GWP letter of 7 June  2017 to Pickwick Association and accompanying report of same date </w:t>
      </w:r>
    </w:p>
  </w:footnote>
  <w:footnote w:id="2">
    <w:p w:rsidR="003044EC" w:rsidRDefault="00992FD5">
      <w:pPr>
        <w:pStyle w:val="footnotedescription"/>
        <w:spacing w:line="246" w:lineRule="auto"/>
        <w:ind w:right="157"/>
        <w:jc w:val="both"/>
      </w:pPr>
      <w:r>
        <w:rPr>
          <w:rStyle w:val="footnotemark"/>
        </w:rPr>
        <w:footnoteRef/>
      </w:r>
      <w:r>
        <w:t xml:space="preserve"> Policy MSP4 – Wiltshire and Swindon Structure Plan : </w:t>
      </w:r>
      <w:r>
        <w:rPr>
          <w:rFonts w:ascii="Arial" w:eastAsia="Arial" w:hAnsi="Arial" w:cs="Arial"/>
          <w:i/>
          <w:color w:val="222222"/>
        </w:rPr>
        <w:t>“significant workable mineral deposits should be safeguarded against other forms of development and, whenever practicable, should be extracted prior to any development which could result in their sterilisation”</w:t>
      </w:r>
      <w:r>
        <w:rPr>
          <w:i/>
        </w:rPr>
        <w:t xml:space="preserve"> </w:t>
      </w:r>
    </w:p>
  </w:footnote>
  <w:footnote w:id="3">
    <w:p w:rsidR="00F20D2F" w:rsidRDefault="00F20D2F">
      <w:pPr>
        <w:pStyle w:val="FootnoteText"/>
      </w:pPr>
      <w:r>
        <w:rPr>
          <w:rStyle w:val="FootnoteReference"/>
        </w:rPr>
        <w:footnoteRef/>
      </w:r>
      <w:r>
        <w:t xml:space="preserve"> “….</w:t>
      </w:r>
      <w:r w:rsidRPr="00F20D2F">
        <w:rPr>
          <w:sz w:val="16"/>
          <w:szCs w:val="16"/>
        </w:rPr>
        <w:t>the possibility of unmapped shallow mine-workings which might potentially be used by bats</w:t>
      </w:r>
      <w:r>
        <w:rPr>
          <w:sz w:val="16"/>
          <w:szCs w:val="16"/>
        </w:rPr>
        <w:t>”</w:t>
      </w:r>
    </w:p>
  </w:footnote>
  <w:footnote w:id="4">
    <w:p w:rsidR="006358B8" w:rsidRDefault="006358B8" w:rsidP="006358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4FC2">
        <w:rPr>
          <w:sz w:val="16"/>
          <w:szCs w:val="16"/>
        </w:rPr>
        <w:t>Paragraph 78</w:t>
      </w:r>
      <w:r>
        <w:rPr>
          <w:sz w:val="16"/>
          <w:szCs w:val="16"/>
        </w:rPr>
        <w:t>, Appeal Decision</w:t>
      </w:r>
    </w:p>
  </w:footnote>
  <w:footnote w:id="5">
    <w:p w:rsidR="0014129F" w:rsidRDefault="001412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129F">
        <w:rPr>
          <w:sz w:val="16"/>
          <w:szCs w:val="16"/>
        </w:rPr>
        <w:t>Buxtons letter to WC 16 August</w:t>
      </w:r>
    </w:p>
  </w:footnote>
  <w:footnote w:id="6">
    <w:p w:rsidR="008D3F32" w:rsidRDefault="008D3F32" w:rsidP="008D3F32">
      <w:pPr>
        <w:pStyle w:val="footnotedescription"/>
      </w:pPr>
      <w:r>
        <w:rPr>
          <w:rStyle w:val="footnotemark"/>
        </w:rPr>
        <w:footnoteRef/>
      </w:r>
      <w:r>
        <w:t xml:space="preserve"> GWP report 7 June 2017 – Conclusions – 4.2 </w:t>
      </w:r>
    </w:p>
  </w:footnote>
  <w:footnote w:id="7">
    <w:p w:rsidR="00233A65" w:rsidRDefault="00233A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1474C" w:rsidRPr="0081474C">
        <w:rPr>
          <w:sz w:val="16"/>
          <w:szCs w:val="16"/>
        </w:rPr>
        <w:t>GWP letter to WC 13 July 2017</w:t>
      </w:r>
    </w:p>
  </w:footnote>
  <w:footnote w:id="8">
    <w:p w:rsidR="00414BD4" w:rsidRDefault="00414B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4BD4">
        <w:rPr>
          <w:sz w:val="16"/>
          <w:szCs w:val="16"/>
        </w:rPr>
        <w:t>Conditions 22 &amp; 23</w:t>
      </w:r>
    </w:p>
  </w:footnote>
  <w:footnote w:id="9">
    <w:p w:rsidR="003044EC" w:rsidRDefault="00992FD5">
      <w:pPr>
        <w:pStyle w:val="footnotedescription"/>
      </w:pPr>
      <w:r>
        <w:rPr>
          <w:rStyle w:val="footnotemark"/>
        </w:rPr>
        <w:footnoteRef/>
      </w:r>
      <w:r>
        <w:t xml:space="preserve"> Planning Inspectorate, Schedule of Conditions, nos. 22 and 23 </w:t>
      </w:r>
    </w:p>
  </w:footnote>
  <w:footnote w:id="10">
    <w:p w:rsidR="006B3FB5" w:rsidRDefault="006B3FB5" w:rsidP="006B3FB5">
      <w:pPr>
        <w:pStyle w:val="footnotedescription"/>
      </w:pPr>
      <w:r>
        <w:rPr>
          <w:rStyle w:val="footnotemark"/>
        </w:rPr>
        <w:footnoteRef/>
      </w:r>
      <w:r>
        <w:t xml:space="preserve"> GWP report 7 June 2017. Section 3.3 and Conclusions – 4.3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695"/>
    <w:multiLevelType w:val="hybridMultilevel"/>
    <w:tmpl w:val="AC167A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105702"/>
    <w:multiLevelType w:val="hybridMultilevel"/>
    <w:tmpl w:val="5E68222E"/>
    <w:lvl w:ilvl="0" w:tplc="B0C60E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6BE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4DF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C8D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228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3A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2ABC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74D4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890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C"/>
    <w:rsid w:val="00134FC2"/>
    <w:rsid w:val="0014129F"/>
    <w:rsid w:val="00141546"/>
    <w:rsid w:val="0016064B"/>
    <w:rsid w:val="00210C00"/>
    <w:rsid w:val="00233A65"/>
    <w:rsid w:val="00242B85"/>
    <w:rsid w:val="002D4F2B"/>
    <w:rsid w:val="00304439"/>
    <w:rsid w:val="003044EC"/>
    <w:rsid w:val="00393554"/>
    <w:rsid w:val="003A6A39"/>
    <w:rsid w:val="003D1F03"/>
    <w:rsid w:val="00414BD4"/>
    <w:rsid w:val="00503CF0"/>
    <w:rsid w:val="005E2D31"/>
    <w:rsid w:val="00625752"/>
    <w:rsid w:val="006358B8"/>
    <w:rsid w:val="006B3FB5"/>
    <w:rsid w:val="006E115A"/>
    <w:rsid w:val="0077649E"/>
    <w:rsid w:val="0081474C"/>
    <w:rsid w:val="008D3F32"/>
    <w:rsid w:val="008F4CAA"/>
    <w:rsid w:val="009306F2"/>
    <w:rsid w:val="00942EBF"/>
    <w:rsid w:val="00975B1D"/>
    <w:rsid w:val="00992FD5"/>
    <w:rsid w:val="00A5037C"/>
    <w:rsid w:val="00B14177"/>
    <w:rsid w:val="00B254AC"/>
    <w:rsid w:val="00CD062D"/>
    <w:rsid w:val="00CF783E"/>
    <w:rsid w:val="00DD7A0E"/>
    <w:rsid w:val="00E00CC6"/>
    <w:rsid w:val="00EA59DE"/>
    <w:rsid w:val="00ED10AC"/>
    <w:rsid w:val="00F20D2F"/>
    <w:rsid w:val="00F4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20D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D2F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0D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1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1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7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1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20D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D2F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0D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1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1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7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1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84F9-85B8-49C3-9806-09E54ADE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2017-09-05T14:27:00Z</cp:lastPrinted>
  <dcterms:created xsi:type="dcterms:W3CDTF">2017-09-08T07:52:00Z</dcterms:created>
  <dcterms:modified xsi:type="dcterms:W3CDTF">2017-09-08T07:52:00Z</dcterms:modified>
</cp:coreProperties>
</file>